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68ACFD64"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D84C3D">
        <w:rPr>
          <w:rFonts w:ascii="Calibri" w:eastAsia="Times New Roman" w:hAnsi="Calibri" w:cs="Calibri"/>
          <w:b/>
          <w:bCs/>
          <w:color w:val="000000"/>
        </w:rPr>
        <w:t>2</w:t>
      </w:r>
      <w:r w:rsidR="001F28DC">
        <w:rPr>
          <w:rFonts w:ascii="Calibri" w:eastAsia="Times New Roman" w:hAnsi="Calibri" w:cs="Calibri"/>
          <w:b/>
          <w:bCs/>
          <w:color w:val="000000"/>
        </w:rPr>
        <w:t>4</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3CCC11CB"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D84C3D">
        <w:rPr>
          <w:rFonts w:ascii="Calibri" w:eastAsia="Times New Roman" w:hAnsi="Calibri" w:cs="Calibri"/>
          <w:color w:val="000000"/>
          <w:sz w:val="20"/>
          <w:szCs w:val="20"/>
        </w:rPr>
        <w:t>23</w:t>
      </w:r>
      <w:r w:rsidR="0009547A">
        <w:rPr>
          <w:rFonts w:ascii="Calibri" w:eastAsia="Times New Roman" w:hAnsi="Calibri" w:cs="Calibri"/>
          <w:color w:val="000000"/>
          <w:sz w:val="20"/>
          <w:szCs w:val="20"/>
        </w:rPr>
        <w:t xml:space="preserve"> janvier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1F28DC">
        <w:rPr>
          <w:rFonts w:ascii="Calibri" w:eastAsia="Times New Roman" w:hAnsi="Calibri" w:cs="Calibri"/>
          <w:b/>
          <w:bCs/>
          <w:color w:val="000000"/>
          <w:sz w:val="20"/>
          <w:szCs w:val="20"/>
        </w:rPr>
        <w:t>EAUX DE VIENNE SIVEER Agence de Neuville</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01522001"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1F28DC">
        <w:rPr>
          <w:rFonts w:ascii="Calibri" w:eastAsia="Times New Roman" w:hAnsi="Calibri" w:cs="Calibri"/>
          <w:color w:val="000000"/>
          <w:sz w:val="20"/>
          <w:szCs w:val="20"/>
        </w:rPr>
        <w:t>NEUVILLE DE POITOU</w:t>
      </w:r>
      <w:r w:rsidR="003E3A0D">
        <w:rPr>
          <w:rFonts w:ascii="Calibri" w:eastAsia="Times New Roman" w:hAnsi="Calibri" w:cs="Calibri"/>
          <w:color w:val="000000"/>
          <w:sz w:val="20"/>
          <w:szCs w:val="20"/>
        </w:rPr>
        <w:t xml:space="preserve"> (</w:t>
      </w:r>
      <w:r w:rsidR="001F28DC">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1F28DC">
        <w:rPr>
          <w:rFonts w:ascii="Calibri" w:eastAsia="Times New Roman" w:hAnsi="Calibri" w:cs="Calibri"/>
          <w:color w:val="000000"/>
          <w:sz w:val="20"/>
          <w:szCs w:val="20"/>
        </w:rPr>
        <w:t>11 rue de l’Outarde Canepetière</w:t>
      </w:r>
      <w:r w:rsidR="00D84C3D">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46A28501"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D41E1">
        <w:rPr>
          <w:rFonts w:ascii="Calibri" w:eastAsia="Times New Roman" w:hAnsi="Calibri" w:cs="Calibri"/>
          <w:color w:val="000000"/>
          <w:sz w:val="20"/>
          <w:szCs w:val="20"/>
        </w:rPr>
        <w:t>,</w:t>
      </w:r>
      <w:r w:rsidR="0040788F">
        <w:rPr>
          <w:rFonts w:ascii="Calibri" w:eastAsia="Times New Roman" w:hAnsi="Calibri" w:cs="Calibri"/>
          <w:color w:val="000000"/>
          <w:sz w:val="20"/>
          <w:szCs w:val="20"/>
        </w:rPr>
        <w:t xml:space="preserve"> </w:t>
      </w:r>
    </w:p>
    <w:p w14:paraId="411A8D07" w14:textId="77777777" w:rsidR="00155EB3" w:rsidRPr="00247F32" w:rsidRDefault="00155EB3" w:rsidP="00155EB3">
      <w:pPr>
        <w:rPr>
          <w:rFonts w:ascii="Times New Roman" w:eastAsia="Times New Roman" w:hAnsi="Times New Roman" w:cs="Times New Roman"/>
        </w:rPr>
      </w:pPr>
    </w:p>
    <w:p w14:paraId="32A12920" w14:textId="0E178B88" w:rsidR="00155EB3" w:rsidRPr="00E378D5" w:rsidRDefault="001F28DC"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Cours du Gros Pailler</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39FD785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1F28DC">
        <w:rPr>
          <w:rFonts w:ascii="Calibri" w:eastAsia="Times New Roman" w:hAnsi="Calibri" w:cs="Calibri"/>
          <w:b/>
          <w:bCs/>
          <w:color w:val="000000"/>
          <w:sz w:val="20"/>
          <w:szCs w:val="20"/>
        </w:rPr>
        <w:t>travaux sur réseau eau potable</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L'entreprise responsable des travaux devra signaler son chantier conformément à l'arrêté de police pris dans le cadre de la présente autorisation en application des dispositions du Code de la route et de l'instruction </w:t>
      </w:r>
      <w:r w:rsidRPr="00247F32">
        <w:rPr>
          <w:rFonts w:ascii="Calibri" w:eastAsia="Times New Roman" w:hAnsi="Calibri" w:cs="Calibri"/>
          <w:color w:val="000000"/>
          <w:sz w:val="20"/>
          <w:szCs w:val="20"/>
        </w:rPr>
        <w:lastRenderedPageBreak/>
        <w:t>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3C2C2260"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1F28DC">
        <w:rPr>
          <w:rFonts w:ascii="Calibri" w:eastAsia="Times New Roman" w:hAnsi="Calibri" w:cs="Calibri"/>
          <w:b/>
          <w:bCs/>
          <w:color w:val="000000"/>
          <w:sz w:val="20"/>
          <w:szCs w:val="20"/>
        </w:rPr>
        <w:t>30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11FB5B3D"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4B0C20">
        <w:rPr>
          <w:rFonts w:ascii="Calibri" w:eastAsia="Times New Roman" w:hAnsi="Calibri" w:cs="Calibri"/>
          <w:b/>
          <w:bCs/>
          <w:color w:val="000000"/>
          <w:sz w:val="20"/>
          <w:szCs w:val="20"/>
        </w:rPr>
        <w:t xml:space="preserve">lundi </w:t>
      </w:r>
      <w:r w:rsidR="00D84C3D">
        <w:rPr>
          <w:rFonts w:ascii="Calibri" w:eastAsia="Times New Roman" w:hAnsi="Calibri" w:cs="Calibri"/>
          <w:b/>
          <w:bCs/>
          <w:color w:val="000000"/>
          <w:sz w:val="20"/>
          <w:szCs w:val="20"/>
        </w:rPr>
        <w:t>13</w:t>
      </w:r>
      <w:r w:rsidR="0009547A">
        <w:rPr>
          <w:rFonts w:ascii="Calibri" w:eastAsia="Times New Roman" w:hAnsi="Calibri" w:cs="Calibri"/>
          <w:b/>
          <w:bCs/>
          <w:color w:val="000000"/>
          <w:sz w:val="20"/>
          <w:szCs w:val="20"/>
        </w:rPr>
        <w:t xml:space="preserve"> février</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327907D9"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4B0C20">
        <w:rPr>
          <w:rFonts w:ascii="Calibri" w:eastAsia="Times New Roman" w:hAnsi="Calibri" w:cs="Calibri"/>
          <w:color w:val="000000"/>
          <w:sz w:val="20"/>
          <w:szCs w:val="20"/>
        </w:rPr>
        <w:t>2</w:t>
      </w:r>
      <w:r w:rsidR="001F28DC">
        <w:rPr>
          <w:rFonts w:ascii="Calibri" w:eastAsia="Times New Roman" w:hAnsi="Calibri" w:cs="Calibri"/>
          <w:color w:val="000000"/>
          <w:sz w:val="20"/>
          <w:szCs w:val="20"/>
        </w:rPr>
        <w:t>4</w:t>
      </w:r>
      <w:r w:rsidR="0009547A">
        <w:rPr>
          <w:rFonts w:ascii="Calibri" w:eastAsia="Times New Roman" w:hAnsi="Calibri" w:cs="Calibri"/>
          <w:color w:val="000000"/>
          <w:sz w:val="20"/>
          <w:szCs w:val="20"/>
        </w:rPr>
        <w:t xml:space="preserve"> janvier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D396" w14:textId="77777777" w:rsidR="00B91476" w:rsidRDefault="00B91476">
      <w:r>
        <w:separator/>
      </w:r>
    </w:p>
  </w:endnote>
  <w:endnote w:type="continuationSeparator" w:id="0">
    <w:p w14:paraId="797CABD9" w14:textId="77777777" w:rsidR="00B91476" w:rsidRDefault="00B9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A384" w14:textId="77777777" w:rsidR="00B91476" w:rsidRDefault="00B91476">
      <w:r>
        <w:separator/>
      </w:r>
    </w:p>
  </w:footnote>
  <w:footnote w:type="continuationSeparator" w:id="0">
    <w:p w14:paraId="1EF60744" w14:textId="77777777" w:rsidR="00B91476" w:rsidRDefault="00B91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339"/>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28DC"/>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310"/>
    <w:rsid w:val="004347C5"/>
    <w:rsid w:val="00447BB4"/>
    <w:rsid w:val="004529F5"/>
    <w:rsid w:val="00455BFE"/>
    <w:rsid w:val="00464D4F"/>
    <w:rsid w:val="00464D5E"/>
    <w:rsid w:val="00466E06"/>
    <w:rsid w:val="00476FEF"/>
    <w:rsid w:val="00483907"/>
    <w:rsid w:val="00497E91"/>
    <w:rsid w:val="004A5922"/>
    <w:rsid w:val="004B0C20"/>
    <w:rsid w:val="004C4C43"/>
    <w:rsid w:val="004C747D"/>
    <w:rsid w:val="004E3754"/>
    <w:rsid w:val="004F5872"/>
    <w:rsid w:val="0050646A"/>
    <w:rsid w:val="005363B1"/>
    <w:rsid w:val="00540BB3"/>
    <w:rsid w:val="00540C79"/>
    <w:rsid w:val="00544DD1"/>
    <w:rsid w:val="00571B50"/>
    <w:rsid w:val="00596280"/>
    <w:rsid w:val="005B1BF7"/>
    <w:rsid w:val="005C749C"/>
    <w:rsid w:val="005C7A75"/>
    <w:rsid w:val="005E394C"/>
    <w:rsid w:val="005E6EC3"/>
    <w:rsid w:val="00602FD0"/>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50E48"/>
    <w:rsid w:val="00774008"/>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91476"/>
    <w:rsid w:val="00BF6B42"/>
    <w:rsid w:val="00BF7AF7"/>
    <w:rsid w:val="00C5705C"/>
    <w:rsid w:val="00C570C6"/>
    <w:rsid w:val="00C765C4"/>
    <w:rsid w:val="00C950AD"/>
    <w:rsid w:val="00CA41B2"/>
    <w:rsid w:val="00CA7A25"/>
    <w:rsid w:val="00CD6EA7"/>
    <w:rsid w:val="00CF5EAA"/>
    <w:rsid w:val="00D168DA"/>
    <w:rsid w:val="00D346B3"/>
    <w:rsid w:val="00D43EA9"/>
    <w:rsid w:val="00D84C3D"/>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2023-01-24T10:01:00Z</dcterms:created>
  <dcterms:modified xsi:type="dcterms:W3CDTF">2023-01-24T10:06:00Z</dcterms:modified>
</cp:coreProperties>
</file>