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2A8DA964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</w:t>
      </w:r>
      <w:r w:rsidR="00086C3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6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267E6F2F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>GEF TP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086C35">
        <w:rPr>
          <w:rFonts w:asciiTheme="minorHAnsi" w:eastAsia="Times New Roman" w:hAnsiTheme="minorHAnsi" w:cstheme="minorHAnsi"/>
          <w:color w:val="000000"/>
          <w:sz w:val="22"/>
          <w:szCs w:val="22"/>
        </w:rPr>
        <w:t>16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janvier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4B9C9D3E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la réalisation d’une </w:t>
      </w:r>
      <w:r w:rsidR="00A07A8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tranchée </w:t>
      </w:r>
      <w:r w:rsidR="000F176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</w:t>
      </w:r>
      <w:r w:rsidR="00791C5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branchement électrique et pose de coffret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rue</w:t>
      </w:r>
      <w:r w:rsidR="00791C5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du </w:t>
      </w:r>
      <w:r w:rsidR="000A2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Moulin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46880781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B073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la 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réalisation d’une </w:t>
      </w:r>
      <w:r w:rsidR="00791C5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tranchée pour branchement électrique et pose de coffret, </w:t>
      </w:r>
      <w:r w:rsidR="00FE75F7">
        <w:rPr>
          <w:rFonts w:asciiTheme="minorHAnsi" w:eastAsia="Times New Roman" w:hAnsiTheme="minorHAnsi" w:cstheme="minorHAnsi"/>
          <w:color w:val="000000"/>
          <w:sz w:val="22"/>
          <w:szCs w:val="22"/>
        </w:rPr>
        <w:t>avec empiètement sur la chaussée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>,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sera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réduite sur section courante avec basculement sur la chaussée opposée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Les travaux porteront sur le trottoir et la chaussée. La circulation sera alternée par panneaux B15/C1</w:t>
      </w:r>
      <w:r w:rsidR="00086C35">
        <w:rPr>
          <w:rFonts w:asciiTheme="minorHAnsi" w:eastAsia="Times New Roman" w:hAnsiTheme="minorHAnsi" w:cstheme="minorHAnsi"/>
          <w:color w:val="000000"/>
          <w:sz w:val="22"/>
          <w:szCs w:val="22"/>
        </w:rPr>
        <w:t>8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Il ser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interdit à tous les véhicules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dépasser et de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stationne</w:t>
      </w:r>
      <w:r w:rsidR="00345707"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  <w:r w:rsidR="008258A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aux abords du chantier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6584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0DE226FC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086C3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mercre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di 2</w:t>
      </w:r>
      <w:r w:rsidR="00086C3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février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086C3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20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.- La signalisation réglementaire sera posée par le pétitionnaire sous le contrôle des services techniques de la </w:t>
      </w:r>
      <w:proofErr w:type="gramStart"/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Mairie</w:t>
      </w:r>
      <w:proofErr w:type="gramEnd"/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621F5813" w:rsidR="00E95789" w:rsidRDefault="00AB7CFF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GEF TP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2EB69F5B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="00086C35">
        <w:rPr>
          <w:rFonts w:asciiTheme="minorHAnsi" w:eastAsia="Times New Roman" w:hAnsiTheme="minorHAnsi" w:cstheme="minorHAnsi"/>
          <w:color w:val="000000"/>
          <w:sz w:val="22"/>
          <w:szCs w:val="22"/>
        </w:rPr>
        <w:t>7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janvier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16ED" w14:textId="77777777" w:rsidR="00C8118B" w:rsidRDefault="00C8118B">
      <w:r>
        <w:separator/>
      </w:r>
    </w:p>
  </w:endnote>
  <w:endnote w:type="continuationSeparator" w:id="0">
    <w:p w14:paraId="00D44096" w14:textId="77777777" w:rsidR="00C8118B" w:rsidRDefault="00C8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8A7B" w14:textId="77777777" w:rsidR="00C8118B" w:rsidRDefault="00C8118B">
      <w:r>
        <w:separator/>
      </w:r>
    </w:p>
  </w:footnote>
  <w:footnote w:type="continuationSeparator" w:id="0">
    <w:p w14:paraId="232F59DE" w14:textId="77777777" w:rsidR="00C8118B" w:rsidRDefault="00C8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86C35"/>
    <w:rsid w:val="000A012C"/>
    <w:rsid w:val="000A2148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519A9"/>
    <w:rsid w:val="00251F18"/>
    <w:rsid w:val="00281E59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5841"/>
    <w:rsid w:val="00A97B55"/>
    <w:rsid w:val="00AA7F83"/>
    <w:rsid w:val="00AB44BE"/>
    <w:rsid w:val="00AB7CFF"/>
    <w:rsid w:val="00AE1FA5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8118B"/>
    <w:rsid w:val="00C908CA"/>
    <w:rsid w:val="00CA79AA"/>
    <w:rsid w:val="00CE4184"/>
    <w:rsid w:val="00D04227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4</cp:revision>
  <cp:lastPrinted>2022-12-06T10:51:00Z</cp:lastPrinted>
  <dcterms:created xsi:type="dcterms:W3CDTF">2023-01-17T12:30:00Z</dcterms:created>
  <dcterms:modified xsi:type="dcterms:W3CDTF">2023-02-21T12:17:00Z</dcterms:modified>
</cp:coreProperties>
</file>